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6E93C591" w14:textId="28C4AD6A" w:rsid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Mex, Szwajcaria, 8 czerwca 2022 r.</w:t>
      </w:r>
    </w:p>
    <w:p w14:paraId="1C3D94AD"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p>
    <w:p w14:paraId="360F4702"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en-US" w:eastAsia="ja-JP"/>
        </w:rPr>
      </w:pPr>
    </w:p>
    <w:p w14:paraId="0323F0F8"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BOBST przedstawia swoje najnowsze rozwiązania umożliwiające poruszanie się w szybko zmieniającym się przemyśle opakowaniowym</w:t>
      </w:r>
    </w:p>
    <w:p w14:paraId="14E01A63"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 xml:space="preserve"> </w:t>
      </w:r>
    </w:p>
    <w:p w14:paraId="7460F598"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Firma BOBST ogłosiła dzisiaj swoje najnowsze portfolio produktów i usług, aby pomóc przetwórcom i właścicielom marek w poruszaniu się w nowym środowisku. </w:t>
      </w:r>
    </w:p>
    <w:p w14:paraId="46BAD0D0"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07E99A80"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Już w 2020 roku BOBST przedstawiła wizję przemysłu opartą na czterech kluczowych filarach – zdalnej komunikacji, cyfryzacji, automatyzacji i zrównoważonym rozwoju. Ostatnie wydarzenia na świecie sprawiły, że zapotrzebowanie na nie wzrosło jak nigdy dotąd. Obecnie te cztery filary stały się kamieniami węgielnymi nie tylko strategii BOBST, ale całego środowiska opakowaniowego. </w:t>
      </w:r>
    </w:p>
    <w:p w14:paraId="27D8D94C"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4515064F"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„Chociaż możliwość antycypacji wydarzeń na świecie w ostatnich latach, takich jak pandemia, globalne konflikty i ich konsekwencji dla naszej branży – takich jak niedobory materiałów i siły roboczej – była niemożliwa, udało nam się prawidłowo zidentyfikować ogólne trendy w branży opakowań” - powiedział Jean-Pascal Bobst, Dyrektor Generalny Grupy Bobst. „Choć trendy te niewątpliwie uległy przyspieszeniu, BOBST wdrożył strategię i zbudował portfolio rozwiązań i usług, które pozwalają przetwórcom i właścicielom marek rozwijać się nawet w tym nowym świecie opakowań.” </w:t>
      </w:r>
    </w:p>
    <w:p w14:paraId="529FEC66"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5C3CEDE1"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Wszyscy w BOBST wierzymy, że przyszłość będzie opierała się na jeszcze większej możliwości zdalnej komunikacji i bliskości, większej cyfryzacji i elastyczności, większej automatyzacji i produktywności oraz większym zrównoważonym rozwóju i odpowiedzialności. Oto kilka najnowszych innowacji, które uzupełniają portfolio BOBST.  </w:t>
      </w:r>
    </w:p>
    <w:p w14:paraId="287EAF00"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1F0C59CF"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 xml:space="preserve">Więcej zdalnej komunikacji i bliskości </w:t>
      </w:r>
    </w:p>
    <w:p w14:paraId="37DE26A0"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607CAC74"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Firma BOBST wierzy, że cały łańcuch wartości opakowań może zostać połączony, umożliwiając dobrą widoczność procesu produkcyjnego przetwórcom i właścicielom marek.</w:t>
      </w:r>
    </w:p>
    <w:p w14:paraId="29F0C04C"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140DFB81"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Kluczowym czynnikiem umożliwiającym realizację tej wizji jest nowy, zaktualizowany system </w:t>
      </w:r>
      <w:r w:rsidRPr="006037BC">
        <w:rPr>
          <w:rFonts w:eastAsia="Times New Roman" w:cstheme="minorHAnsi"/>
          <w:b/>
          <w:bCs/>
          <w:color w:val="000000"/>
          <w:sz w:val="20"/>
          <w:szCs w:val="20"/>
          <w:lang w:val="pl-PL" w:eastAsia="ja-JP"/>
        </w:rPr>
        <w:t>BOBST Connect</w:t>
      </w:r>
      <w:r w:rsidRPr="006037BC">
        <w:rPr>
          <w:rFonts w:eastAsia="Times New Roman" w:cstheme="minorHAnsi"/>
          <w:color w:val="000000"/>
          <w:sz w:val="20"/>
          <w:szCs w:val="20"/>
          <w:lang w:val="pl-PL" w:eastAsia="ja-JP"/>
        </w:rPr>
        <w:t xml:space="preserve">, który zapewnia cyfrowe rozwiązania w zakresie przygotowania, produkcji, reagowania, utrzymania i optymalizacji przebiegu procesu produkcyjnego. Nowo uruchomiona wersja BOBST Connect oferuje szereg cech i funkcjonalności, aby pomóc klientom w optymalizacji ich opakowań na każdym etapie. Łącząc każdy etap procesu, BOBST Connect zwiększa wydajność, poziom kontroli i znajomości danych, poprawiając jakość i wydajność w całym łańcuchu wartości. </w:t>
      </w:r>
    </w:p>
    <w:p w14:paraId="777639CF"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0D94B203"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Bliskość wobec klienta zapewnia doskonałą jakość wsparcia serwisowego. </w:t>
      </w:r>
      <w:r w:rsidRPr="006037BC">
        <w:rPr>
          <w:rFonts w:eastAsia="Times New Roman" w:cstheme="minorHAnsi"/>
          <w:b/>
          <w:color w:val="000000"/>
          <w:sz w:val="20"/>
          <w:szCs w:val="20"/>
          <w:lang w:val="pl-PL" w:eastAsia="ja-JP"/>
        </w:rPr>
        <w:t>Nowa infolinia BOBST Helpline</w:t>
      </w:r>
      <w:r w:rsidRPr="006037BC">
        <w:rPr>
          <w:rFonts w:eastAsia="Times New Roman" w:cstheme="minorHAnsi"/>
          <w:b/>
          <w:bCs/>
          <w:color w:val="000000"/>
          <w:sz w:val="20"/>
          <w:szCs w:val="20"/>
          <w:lang w:val="pl-PL" w:eastAsia="ja-JP"/>
        </w:rPr>
        <w:t xml:space="preserve"> </w:t>
      </w:r>
      <w:r w:rsidRPr="006037BC">
        <w:rPr>
          <w:rFonts w:eastAsia="Times New Roman" w:cstheme="minorHAnsi"/>
          <w:b/>
          <w:color w:val="000000"/>
          <w:sz w:val="20"/>
          <w:szCs w:val="20"/>
          <w:lang w:val="pl-PL" w:eastAsia="ja-JP"/>
        </w:rPr>
        <w:t>Essential</w:t>
      </w:r>
      <w:r w:rsidRPr="006037BC">
        <w:rPr>
          <w:rFonts w:eastAsia="Times New Roman" w:cstheme="minorHAnsi"/>
          <w:color w:val="000000"/>
          <w:sz w:val="20"/>
          <w:szCs w:val="20"/>
          <w:lang w:val="pl-PL" w:eastAsia="ja-JP"/>
        </w:rPr>
        <w:t xml:space="preserve"> dla maszyn niemających możliwości  podłączenia to usługa zdalnej pomocy, która umożliwia klientom dostęp do strumieniowej transmisji wideo i priorytetowego połączenia ze specjalistami wsparcia technicznego BOBST w celu szybszego rozwiązywania problemów i usuwania usterek. Szacuje się, że około 50% przypadków będzie można rozwiązać za pomocą transmisji strumieniowej wideo.</w:t>
      </w:r>
    </w:p>
    <w:p w14:paraId="1C7DE1A7"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24467EDD"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lastRenderedPageBreak/>
        <w:t xml:space="preserve">Tymczasem, aby jeszcze bardziej usprawnić logistykę w zakresie dostaw części zamiennych, BOBST otwiera </w:t>
      </w:r>
      <w:r w:rsidRPr="006037BC">
        <w:rPr>
          <w:rFonts w:eastAsia="Times New Roman" w:cstheme="minorHAnsi"/>
          <w:b/>
          <w:bCs/>
          <w:color w:val="000000"/>
          <w:sz w:val="20"/>
          <w:szCs w:val="20"/>
          <w:lang w:val="pl-PL" w:eastAsia="ja-JP"/>
        </w:rPr>
        <w:t>nowe centrum logistyczne dla regionu Europy, Bliskiego Wschodu i Afryki (EMEA)</w:t>
      </w:r>
      <w:r w:rsidRPr="006037BC">
        <w:rPr>
          <w:rFonts w:eastAsia="Times New Roman" w:cstheme="minorHAnsi"/>
          <w:color w:val="000000"/>
          <w:sz w:val="20"/>
          <w:szCs w:val="20"/>
          <w:lang w:val="pl-PL" w:eastAsia="ja-JP"/>
        </w:rPr>
        <w:t>. Nowe centrum EMEA - zlokalizowane w Genk w Belgii - dołącza do istniejących już centrów w USA oraz w regionie Azji i Pacyfiku. Centrum logistyczne, w którym znajduje się 100 000 części dedykowanych dla wszystkich linii produktowych, dostępnych do natychmiastowej wysyłki, znacznie poprawi poziom obsługi naszych klientów z regionu EMEA. Będzie to możliwe dzięki skróconym czasom dostaw, w tym usłudze wysyłki dostępnej 24 godziny na dobę, 7 dni w tygodniu.</w:t>
      </w:r>
    </w:p>
    <w:p w14:paraId="3F7DAACB"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530E04A9"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 xml:space="preserve">Więcej cyfryzacji i elastyczności </w:t>
      </w:r>
    </w:p>
    <w:p w14:paraId="5BD5BC35"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31A21DEA" w14:textId="77777777" w:rsidR="006037BC" w:rsidRPr="006037BC" w:rsidRDefault="006037BC" w:rsidP="006037BC">
      <w:pPr>
        <w:shd w:val="clear" w:color="auto" w:fill="FFFFFF"/>
        <w:spacing w:line="276" w:lineRule="auto"/>
        <w:rPr>
          <w:rFonts w:eastAsia="Times New Roman" w:cstheme="minorHAnsi"/>
          <w:color w:val="000000"/>
          <w:sz w:val="20"/>
          <w:szCs w:val="20"/>
          <w:shd w:val="clear" w:color="auto" w:fill="FFFFFF"/>
          <w:lang w:val="pl-PL" w:eastAsia="ja-JP"/>
        </w:rPr>
      </w:pPr>
      <w:r w:rsidRPr="006037BC">
        <w:rPr>
          <w:rFonts w:eastAsia="Times New Roman" w:cstheme="minorHAnsi"/>
          <w:color w:val="000000"/>
          <w:sz w:val="20"/>
          <w:szCs w:val="20"/>
          <w:shd w:val="clear" w:color="auto" w:fill="FFFFFF"/>
          <w:lang w:val="pl-PL" w:eastAsia="ja-JP"/>
        </w:rPr>
        <w:t xml:space="preserve">Potrzeba digitalizacji jest coraz większa, ponieważ umożliwia ona ograniczenie liczby etapów produkcyjnych i odpadów. </w:t>
      </w:r>
    </w:p>
    <w:p w14:paraId="3362599F" w14:textId="77777777" w:rsidR="006037BC" w:rsidRPr="006037BC" w:rsidRDefault="006037BC" w:rsidP="006037BC">
      <w:pPr>
        <w:shd w:val="clear" w:color="auto" w:fill="FFFFFF"/>
        <w:spacing w:line="276" w:lineRule="auto"/>
        <w:rPr>
          <w:rFonts w:eastAsia="Times New Roman" w:cstheme="minorHAnsi"/>
          <w:color w:val="000000"/>
          <w:sz w:val="20"/>
          <w:szCs w:val="20"/>
          <w:shd w:val="clear" w:color="auto" w:fill="FFFFFF"/>
          <w:lang w:val="pl-PL" w:eastAsia="ja-JP"/>
        </w:rPr>
      </w:pPr>
    </w:p>
    <w:p w14:paraId="5F150AC4"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 tekturze litej, BOBST prezentuje </w:t>
      </w:r>
      <w:r w:rsidRPr="006037BC">
        <w:rPr>
          <w:rFonts w:eastAsia="Times New Roman" w:cstheme="minorHAnsi"/>
          <w:b/>
          <w:bCs/>
          <w:color w:val="000000"/>
          <w:sz w:val="20"/>
          <w:szCs w:val="20"/>
          <w:lang w:val="pl-PL" w:eastAsia="ja-JP"/>
        </w:rPr>
        <w:t xml:space="preserve">nowy program ACCUCHECK RECIPE EDITOR </w:t>
      </w:r>
      <w:r w:rsidRPr="006037BC">
        <w:rPr>
          <w:rFonts w:eastAsia="Times New Roman" w:cstheme="minorHAnsi"/>
          <w:color w:val="000000"/>
          <w:sz w:val="20"/>
          <w:szCs w:val="20"/>
          <w:lang w:val="pl-PL" w:eastAsia="ja-JP"/>
        </w:rPr>
        <w:t xml:space="preserve">dla składarko-sklejarek. Wprowadzony w 2020 r. zawierający nowe funkcje „system inspekcji liniowej” ACCUCHECK </w:t>
      </w:r>
      <w:r w:rsidRPr="006037BC">
        <w:rPr>
          <w:rFonts w:eastAsia="Times New Roman" w:cstheme="minorHAnsi"/>
          <w:color w:val="000000"/>
          <w:sz w:val="20"/>
          <w:szCs w:val="20"/>
          <w:shd w:val="clear" w:color="auto" w:fill="FFFFFF"/>
          <w:lang w:val="pl-PL" w:eastAsia="ja-JP"/>
        </w:rPr>
        <w:t>dokładnie sprawdza wykroje kartonów pod kątem wad i gwarantuje pełną spójność jakości.</w:t>
      </w:r>
      <w:r w:rsidRPr="006037BC">
        <w:rPr>
          <w:rFonts w:eastAsia="Times New Roman" w:cstheme="minorHAnsi"/>
          <w:color w:val="2C363A"/>
          <w:sz w:val="20"/>
          <w:szCs w:val="20"/>
          <w:lang w:val="pl-PL" w:eastAsia="ja-JP"/>
        </w:rPr>
        <w:t xml:space="preserve"> </w:t>
      </w:r>
      <w:r w:rsidRPr="006037BC">
        <w:rPr>
          <w:rFonts w:eastAsia="Times New Roman" w:cstheme="minorHAnsi"/>
          <w:color w:val="000000"/>
          <w:sz w:val="20"/>
          <w:szCs w:val="20"/>
          <w:shd w:val="clear" w:color="auto" w:fill="FFFFFF"/>
          <w:lang w:val="pl-PL" w:eastAsia="ja-JP"/>
        </w:rPr>
        <w:t>Nowy Edytor Receptur </w:t>
      </w:r>
      <w:r w:rsidRPr="006037BC">
        <w:rPr>
          <w:rFonts w:eastAsia="Times New Roman" w:cstheme="minorHAnsi"/>
          <w:color w:val="000000"/>
          <w:sz w:val="20"/>
          <w:szCs w:val="20"/>
          <w:lang w:val="pl-PL" w:eastAsia="ja-JP"/>
        </w:rPr>
        <w:t>pozwala użytkownikom zdalnie tworzyć i modyfikować receptury ACCUCHECK w ramach platformy BOBST Connect oraz wysyłać te receptury do kilku urządzeń ACCUCHECK na hali produkcyjnej. Dzięki wykorzystaniu danych PDF projektu graficznego opakowania, rozwiązanie to upraszcza i znacznie skraca czas przygotowania. W rezultacie umożliwia to zwiększenie produktywności hali produkcyjnej, a także poprawę jakości i redukcję ilości odpadów dzięki ograniczeniu możliwości popełniania błędów ludzkich.</w:t>
      </w:r>
    </w:p>
    <w:p w14:paraId="454AF185" w14:textId="77777777" w:rsidR="006037BC" w:rsidRPr="006037BC" w:rsidRDefault="006037BC" w:rsidP="006037BC">
      <w:pPr>
        <w:shd w:val="clear" w:color="auto" w:fill="FFFFFF"/>
        <w:spacing w:line="276" w:lineRule="auto"/>
        <w:rPr>
          <w:rFonts w:eastAsia="Times New Roman" w:cstheme="minorHAnsi"/>
          <w:color w:val="000000"/>
          <w:sz w:val="20"/>
          <w:szCs w:val="20"/>
          <w:shd w:val="clear" w:color="auto" w:fill="FFFFFF"/>
          <w:lang w:val="pl-PL" w:eastAsia="ja-JP"/>
        </w:rPr>
      </w:pPr>
    </w:p>
    <w:p w14:paraId="67205FDE"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 marcu wprowadzono również na rynek etykieciarki </w:t>
      </w:r>
      <w:r w:rsidRPr="006037BC">
        <w:rPr>
          <w:rFonts w:eastAsia="Times New Roman" w:cstheme="minorHAnsi"/>
          <w:b/>
          <w:bCs/>
          <w:color w:val="000000"/>
          <w:sz w:val="20"/>
          <w:szCs w:val="20"/>
          <w:lang w:val="pl-PL" w:eastAsia="ja-JP"/>
        </w:rPr>
        <w:t>BOBST All-in-One DIGITAL MASTER 340 i DIGITAL MASTER 510</w:t>
      </w:r>
      <w:r w:rsidRPr="006037BC">
        <w:rPr>
          <w:rFonts w:eastAsia="Times New Roman" w:cstheme="minorHAnsi"/>
          <w:color w:val="000000"/>
          <w:sz w:val="20"/>
          <w:szCs w:val="20"/>
          <w:lang w:val="pl-PL" w:eastAsia="ja-JP"/>
        </w:rPr>
        <w:t xml:space="preserve">, które zasadniczo zmieniają sposób produkcji etykiet – pełna cyfryzacja od pliku PDF, ze 100% kontrolą na linii produkcyjnej w zamkniętej pętli, aż po końcowe ozdabianie i wykańczanie etykiet w ramach jednego, ujednoliconego procesu produkcyjnego. </w:t>
      </w:r>
    </w:p>
    <w:p w14:paraId="600ABEB5"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174317A6" w14:textId="77777777" w:rsidR="006037BC" w:rsidRPr="006037BC" w:rsidRDefault="006037BC" w:rsidP="006037BC">
      <w:pPr>
        <w:shd w:val="clear" w:color="auto" w:fill="FFFFFF"/>
        <w:spacing w:line="276" w:lineRule="auto"/>
        <w:rPr>
          <w:rFonts w:eastAsia="Times New Roman" w:cstheme="minorHAnsi"/>
          <w:b/>
          <w:bCs/>
          <w:color w:val="000000"/>
          <w:sz w:val="20"/>
          <w:szCs w:val="20"/>
          <w:lang w:val="pl-PL" w:eastAsia="ja-JP"/>
        </w:rPr>
      </w:pPr>
      <w:r w:rsidRPr="006037BC">
        <w:rPr>
          <w:rFonts w:eastAsia="Times New Roman" w:cstheme="minorHAnsi"/>
          <w:b/>
          <w:bCs/>
          <w:color w:val="000000"/>
          <w:sz w:val="20"/>
          <w:szCs w:val="20"/>
          <w:lang w:val="pl-PL" w:eastAsia="ja-JP"/>
        </w:rPr>
        <w:t xml:space="preserve">Więcej automatyzacji i wydajności </w:t>
      </w:r>
    </w:p>
    <w:p w14:paraId="03EEF262"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00D53A20"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 czasach, gdy przetwórcy i właściciele marek muszą sprostać wyższym niż kiedykolwiek wymaganiom związanym z dynamicznie rozwijającym się rynkiem e-commerce, a jednocześnie stoją przed takimi wyzwaniami, jak brak wykwalifikowanej siły roboczej i surowców, automatyzacja i wydajność nigdy nie były tak ważne jak teraz. </w:t>
      </w:r>
    </w:p>
    <w:p w14:paraId="0F238AA9"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618B2F3D" w14:textId="77777777" w:rsidR="006037BC" w:rsidRPr="006037BC" w:rsidRDefault="006037BC" w:rsidP="006037BC">
      <w:pPr>
        <w:shd w:val="clear" w:color="auto" w:fill="FFFFFF"/>
        <w:spacing w:line="276" w:lineRule="auto"/>
        <w:rPr>
          <w:rFonts w:eastAsia="Arial" w:cstheme="minorHAnsi"/>
          <w:color w:val="000000"/>
          <w:sz w:val="20"/>
          <w:szCs w:val="20"/>
          <w:lang w:val="pl-PL" w:eastAsia="ja-JP"/>
        </w:rPr>
      </w:pPr>
      <w:r w:rsidRPr="006037BC">
        <w:rPr>
          <w:rFonts w:eastAsia="Times New Roman" w:cstheme="minorHAnsi"/>
          <w:color w:val="000000"/>
          <w:sz w:val="20"/>
          <w:szCs w:val="20"/>
          <w:lang w:val="pl-PL" w:eastAsia="ja-JP"/>
        </w:rPr>
        <w:t xml:space="preserve">W sektorze tektury falistej, </w:t>
      </w:r>
      <w:r w:rsidRPr="006037BC">
        <w:rPr>
          <w:rFonts w:eastAsia="Times New Roman" w:cstheme="minorHAnsi"/>
          <w:b/>
          <w:bCs/>
          <w:color w:val="000000"/>
          <w:sz w:val="20"/>
          <w:szCs w:val="20"/>
          <w:lang w:val="pl-PL" w:eastAsia="ja-JP"/>
        </w:rPr>
        <w:t xml:space="preserve">nowa linia EXPERTLINE </w:t>
      </w:r>
      <w:r w:rsidRPr="006037BC">
        <w:rPr>
          <w:rFonts w:eastAsia="Times New Roman" w:cstheme="minorHAnsi"/>
          <w:color w:val="000000"/>
          <w:sz w:val="20"/>
          <w:szCs w:val="20"/>
          <w:lang w:val="pl-PL" w:eastAsia="ja-JP"/>
        </w:rPr>
        <w:t>–</w:t>
      </w:r>
      <w:r w:rsidRPr="006037BC">
        <w:rPr>
          <w:rFonts w:eastAsia="Times New Roman" w:cstheme="minorHAnsi"/>
          <w:b/>
          <w:bCs/>
          <w:color w:val="000000"/>
          <w:sz w:val="20"/>
          <w:szCs w:val="20"/>
          <w:lang w:val="pl-PL" w:eastAsia="ja-JP"/>
        </w:rPr>
        <w:t xml:space="preserve"> </w:t>
      </w:r>
      <w:r w:rsidRPr="006037BC">
        <w:rPr>
          <w:rFonts w:eastAsia="Times New Roman" w:cstheme="minorHAnsi"/>
          <w:color w:val="000000"/>
          <w:sz w:val="20"/>
          <w:szCs w:val="20"/>
          <w:lang w:val="pl-PL" w:eastAsia="ja-JP"/>
        </w:rPr>
        <w:t>składająca się z maszyn EXPERCUT 1.7 I 2.1 oraz EXPERTFLEX – jest wielkoformatową linią do przetwarzania, łączącą sztancowanie płaskie z procesem nadruku fleksograficznego post-press, idealnie nadającą się do produkcji rozwiązań dla e-commerce. Zapewnia ona dużą elastyczność i jest dostępna w wersji zarówno standardowej jak i lustrzanej. Dzięki niezrównanej precyzji pasowania i doskonałemu pasowaniu nadruku linia ta zapewnia niedoścignioną jakość opakowań. Krótkie czasy ustawiania w połączeniu z technologią TooLink</w:t>
      </w:r>
      <w:r w:rsidRPr="006037BC">
        <w:rPr>
          <w:rFonts w:eastAsia="Times New Roman" w:cstheme="minorHAnsi"/>
          <w:b/>
          <w:bCs/>
          <w:color w:val="000000"/>
          <w:sz w:val="20"/>
          <w:szCs w:val="20"/>
          <w:lang w:val="pl-PL" w:eastAsia="ja-JP"/>
        </w:rPr>
        <w:t xml:space="preserve"> </w:t>
      </w:r>
      <w:r w:rsidRPr="006037BC">
        <w:rPr>
          <w:rFonts w:eastAsia="Times New Roman" w:cstheme="minorHAnsi"/>
          <w:color w:val="000000"/>
          <w:sz w:val="20"/>
          <w:szCs w:val="20"/>
          <w:lang w:val="pl-PL" w:eastAsia="ja-JP"/>
        </w:rPr>
        <w:t>zapewniają maksymalny czas pracy bez przestojów i wydajność do 20 milionów metrów kwadratowych rocznie. Dzięki niskiemu całkowitemu kosztowi posiadania (TCO) jest to idealne rozwiązanie dla każdej firmy, które można zastosować do przetwarzania szerokiej gamy opakowań w branży e-commerce i dóbr szybkozbywalnych (FMCG).</w:t>
      </w:r>
    </w:p>
    <w:p w14:paraId="33A02532" w14:textId="77777777" w:rsidR="006037BC" w:rsidRPr="006037BC" w:rsidDel="004D4197" w:rsidRDefault="006037BC" w:rsidP="006037BC">
      <w:pPr>
        <w:shd w:val="clear" w:color="auto" w:fill="FFFFFF"/>
        <w:spacing w:line="276" w:lineRule="auto"/>
        <w:rPr>
          <w:rFonts w:eastAsia="Times New Roman" w:cstheme="minorHAnsi"/>
          <w:color w:val="000000"/>
          <w:sz w:val="20"/>
          <w:szCs w:val="20"/>
          <w:lang w:val="pl-PL" w:eastAsia="ja-JP"/>
        </w:rPr>
      </w:pPr>
    </w:p>
    <w:p w14:paraId="21BFABDC"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 sektorze tektury litej, firma BOBST prezentuje </w:t>
      </w:r>
      <w:r w:rsidRPr="006037BC">
        <w:rPr>
          <w:rFonts w:eastAsia="Times New Roman" w:cstheme="minorHAnsi"/>
          <w:b/>
          <w:bCs/>
          <w:color w:val="000000"/>
          <w:sz w:val="20"/>
          <w:szCs w:val="20"/>
          <w:lang w:val="pl-PL" w:eastAsia="ja-JP"/>
        </w:rPr>
        <w:t>nowy SPEEDSET</w:t>
      </w:r>
      <w:r w:rsidRPr="006037BC">
        <w:rPr>
          <w:rFonts w:eastAsia="Times New Roman" w:cstheme="minorHAnsi"/>
          <w:color w:val="000000"/>
          <w:sz w:val="20"/>
          <w:szCs w:val="20"/>
          <w:lang w:val="pl-PL" w:eastAsia="ja-JP"/>
        </w:rPr>
        <w:t xml:space="preserve">, ulepszony pakiet skracający czas ustawiania, dostępny we wszystkich sztancach płaskich. Pakiet ten znacznie skraca czas przezbrojenia i </w:t>
      </w:r>
      <w:r w:rsidRPr="006037BC">
        <w:rPr>
          <w:rFonts w:eastAsia="Times New Roman" w:cstheme="minorHAnsi"/>
          <w:color w:val="000000"/>
          <w:sz w:val="20"/>
          <w:szCs w:val="20"/>
          <w:lang w:val="pl-PL" w:eastAsia="ja-JP"/>
        </w:rPr>
        <w:lastRenderedPageBreak/>
        <w:t xml:space="preserve">zwiększa wydajność. SPEEDSET to udoskonalone rozwiązania ergonomiczne, takie jak dodatkowy 15-calowy ekran przy podajniku, umożliwiający szybszą konfigurację optycznego systemu pasowania. Pakiet obejmuje również zwiększony poziom automatyzacji, np. podnoszenie palet przy każdym ustawieniu nowego zadania oraz zmotoryzowany system mikrometryczny do idealnego centrowania wykrojnika i płyty kontrującej w celu zapewnienia idealnego dopasowania cięcia i bigowania. Funkcja TooLink umożliwia cyfrowe połączenie narzędzia z maszyną w celu wymiany danych roboczych w ciągu kilku sekund. </w:t>
      </w:r>
    </w:p>
    <w:p w14:paraId="5130CF58" w14:textId="77777777" w:rsidR="006037BC" w:rsidRPr="006037BC" w:rsidRDefault="006037BC" w:rsidP="006037BC">
      <w:pPr>
        <w:shd w:val="clear" w:color="auto" w:fill="FFFFFF"/>
        <w:spacing w:line="276" w:lineRule="auto"/>
        <w:rPr>
          <w:rFonts w:eastAsia="Yu Mincho" w:cstheme="minorHAnsi"/>
          <w:color w:val="000000"/>
          <w:sz w:val="20"/>
          <w:szCs w:val="20"/>
          <w:lang w:val="pl-PL" w:eastAsia="en-GB"/>
        </w:rPr>
      </w:pPr>
    </w:p>
    <w:p w14:paraId="00662FD6" w14:textId="77777777" w:rsidR="000C2645" w:rsidRDefault="006037BC" w:rsidP="000C2645">
      <w:pPr>
        <w:shd w:val="clear" w:color="auto" w:fill="FFFFFF"/>
        <w:spacing w:after="160" w:line="276" w:lineRule="auto"/>
        <w:rPr>
          <w:rFonts w:eastAsia="Arial" w:cstheme="minorHAnsi"/>
          <w:color w:val="000000"/>
          <w:sz w:val="20"/>
          <w:szCs w:val="20"/>
          <w:lang w:val="pl-PL" w:eastAsia="ja-JP"/>
        </w:rPr>
      </w:pPr>
      <w:r w:rsidRPr="006037BC">
        <w:rPr>
          <w:rFonts w:eastAsia="Yu Mincho" w:cstheme="minorHAnsi"/>
          <w:color w:val="000000"/>
          <w:sz w:val="20"/>
          <w:szCs w:val="20"/>
          <w:lang w:val="pl-PL" w:eastAsia="ja-JP"/>
        </w:rPr>
        <w:t>Inne najważniejsze produkty z tego roku to MASTERLINE DRO, nowe rozwiązanie w zakresie wykrawania rotacyjnego, które oferuje większą wydajność, większą wartość i które wyposaża przetwórców z branży tektury falistej w najbardziej wszechstronne, najbardziej zautomatyzowane, połączone i wysoce ergonomiczne rozwiązanie na rynku; MASTERCUT 1.65 PER, jedyna płaska maszynę sztancującą, która może przetwarzać tekturę litą, tekturę falistą i kaszerowaną o gramaturze od 0,5 mm do 2000 g/m</w:t>
      </w:r>
      <w:r w:rsidRPr="006037BC">
        <w:rPr>
          <w:rFonts w:eastAsia="Yu Mincho" w:cstheme="minorHAnsi"/>
          <w:color w:val="000000"/>
          <w:sz w:val="20"/>
          <w:szCs w:val="20"/>
          <w:vertAlign w:val="superscript"/>
          <w:lang w:val="pl-PL" w:eastAsia="ja-JP"/>
        </w:rPr>
        <w:t>2</w:t>
      </w:r>
      <w:r w:rsidRPr="006037BC">
        <w:rPr>
          <w:rFonts w:eastAsia="Yu Mincho" w:cstheme="minorHAnsi"/>
          <w:color w:val="000000"/>
          <w:sz w:val="20"/>
          <w:szCs w:val="20"/>
          <w:lang w:val="pl-PL" w:eastAsia="ja-JP"/>
        </w:rPr>
        <w:t xml:space="preserve">, jedno- lub dwufalową; EXPERTFOLD 165 e-commerce , nowa składarko-sklejarka zaprojektowana specjalnie z myślą o potrzebach cyfrowego handlu detalicznego; oraz NOVAFOLD 50 | 80 | 110, nowa składarko-sklejarka gwarantująca niezawodność i wydajność. </w:t>
      </w:r>
    </w:p>
    <w:p w14:paraId="7DFF8CF9" w14:textId="122CBBEA" w:rsidR="006037BC" w:rsidRPr="000C2645" w:rsidRDefault="006037BC" w:rsidP="000C2645">
      <w:pPr>
        <w:shd w:val="clear" w:color="auto" w:fill="FFFFFF"/>
        <w:spacing w:after="160" w:line="276" w:lineRule="auto"/>
        <w:rPr>
          <w:rFonts w:eastAsia="Arial" w:cstheme="minorHAnsi"/>
          <w:color w:val="000000"/>
          <w:sz w:val="20"/>
          <w:szCs w:val="20"/>
          <w:lang w:val="pl-PL" w:eastAsia="ja-JP"/>
        </w:rPr>
      </w:pPr>
      <w:r w:rsidRPr="006037BC">
        <w:rPr>
          <w:rFonts w:eastAsia="Times New Roman" w:cstheme="minorHAnsi"/>
          <w:b/>
          <w:bCs/>
          <w:color w:val="000000"/>
          <w:sz w:val="20"/>
          <w:szCs w:val="20"/>
          <w:lang w:val="pl-PL" w:eastAsia="ja-JP"/>
        </w:rPr>
        <w:t xml:space="preserve">Więcej zrównoważonego rozwoju i odpowiedzialności </w:t>
      </w:r>
    </w:p>
    <w:p w14:paraId="4FD01C53"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W BOBST wierzymy, że zrównoważony rozwój nie jest wyzwaniem jutra – i już dziś jesteśmy gotowi wprowadzać rozwiązania z zakresu zrównoważonego rozwoju.</w:t>
      </w:r>
    </w:p>
    <w:p w14:paraId="7DDB7D55"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68641645"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BOBST – wraz ze swoimi partnerami – nieustannie czyni wielkie postępy. W ramach inicjatywy CEFLEX (Circular Economy for Flexible Packaging) wprowadziliśmy niedawno ekscytujące </w:t>
      </w:r>
      <w:r w:rsidRPr="006037BC">
        <w:rPr>
          <w:rFonts w:eastAsia="Times New Roman" w:cstheme="minorHAnsi"/>
          <w:b/>
          <w:bCs/>
          <w:color w:val="000000"/>
          <w:sz w:val="20"/>
          <w:szCs w:val="20"/>
          <w:lang w:val="pl-PL" w:eastAsia="ja-JP"/>
        </w:rPr>
        <w:t>nowe rozwiązanie w zakresie wysokobarierowych opakowań elastycznych</w:t>
      </w:r>
      <w:r w:rsidRPr="006037BC">
        <w:rPr>
          <w:rFonts w:eastAsia="Times New Roman" w:cstheme="minorHAnsi"/>
          <w:color w:val="000000"/>
          <w:sz w:val="20"/>
          <w:szCs w:val="20"/>
          <w:lang w:val="pl-PL" w:eastAsia="ja-JP"/>
        </w:rPr>
        <w:t>nadających się do recyklingu – metalizowane, wysokobarierowe, jednomateriałowe opakowanie z nadrukiem fleksograficznym z nowego polipropylenu pochodzącego z recyklingu (rPP – ang. recycled polypropylene). Jest to pierwsza na rynku torebka z barierą z nadrukiem powierzchniowym, wyprodukowana z wykorzystaniem materiału rPP pochodzącego z recyklingu w gospodarstwach domowych.</w:t>
      </w:r>
    </w:p>
    <w:p w14:paraId="62B74096"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2B35AD6F"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We współpracy z firmą </w:t>
      </w:r>
      <w:r w:rsidRPr="006037BC">
        <w:rPr>
          <w:rFonts w:eastAsia="Times New Roman" w:cstheme="minorHAnsi"/>
          <w:color w:val="000000"/>
          <w:sz w:val="20"/>
          <w:szCs w:val="20"/>
          <w:shd w:val="clear" w:color="auto" w:fill="FFFFFF"/>
          <w:lang w:val="pl-PL" w:eastAsia="ja-JP"/>
        </w:rPr>
        <w:t>Tipa</w:t>
      </w:r>
      <w:r w:rsidRPr="006037BC">
        <w:rPr>
          <w:rFonts w:eastAsia="Times New Roman" w:cstheme="minorHAnsi"/>
          <w:color w:val="000000"/>
          <w:sz w:val="20"/>
          <w:szCs w:val="20"/>
          <w:lang w:val="pl-PL" w:eastAsia="ja-JP"/>
        </w:rPr>
        <w:t xml:space="preserve"> – specjalistą w dziedzinie opakowań ekologicznych – pracujemy również nad rozwiązaniem w zakresie opakowań kompostowalnych do użytku domowego oraz nad rozwiązaniem w pełni papierowym, o wysokiej barierze ochronnej, gotowym do recyklingu, o nazwie FibreCycle. To ostatnie stanowi część</w:t>
      </w:r>
      <w:r w:rsidRPr="006037BC">
        <w:rPr>
          <w:rFonts w:eastAsia="Times New Roman" w:cstheme="minorHAnsi"/>
          <w:b/>
          <w:color w:val="000000"/>
          <w:sz w:val="20"/>
          <w:szCs w:val="20"/>
          <w:lang w:val="pl-PL" w:eastAsia="ja-JP"/>
        </w:rPr>
        <w:t>oneBARRIER</w:t>
      </w:r>
      <w:r w:rsidRPr="006037BC">
        <w:rPr>
          <w:rFonts w:eastAsia="Times New Roman" w:cstheme="minorHAnsi"/>
          <w:color w:val="000000"/>
          <w:sz w:val="20"/>
          <w:szCs w:val="20"/>
          <w:lang w:val="pl-PL" w:eastAsia="ja-JP"/>
        </w:rPr>
        <w:t xml:space="preserve"> – rodziny nowych alternatywnych i zrównoważonych rozwiązań, które BOBST rozwija wraz ze swoimi partnerami. </w:t>
      </w:r>
    </w:p>
    <w:p w14:paraId="454B473A"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73F855FB"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Wreszcie, jako część naszego zaangażowania w </w:t>
      </w:r>
      <w:r w:rsidRPr="006037BC">
        <w:rPr>
          <w:rFonts w:eastAsia="Times New Roman" w:cstheme="minorHAnsi"/>
          <w:color w:val="000000"/>
          <w:sz w:val="20"/>
          <w:szCs w:val="20"/>
          <w:shd w:val="clear" w:color="auto" w:fill="FFFFFF"/>
          <w:lang w:val="pl-PL" w:eastAsia="ja-JP"/>
        </w:rPr>
        <w:t>międzybranżowe konsorcjum</w:t>
      </w:r>
      <w:r w:rsidRPr="006037BC">
        <w:rPr>
          <w:rFonts w:eastAsia="Times New Roman" w:cstheme="minorHAnsi"/>
          <w:color w:val="000000"/>
          <w:sz w:val="20"/>
          <w:szCs w:val="20"/>
          <w:lang w:val="pl-PL" w:eastAsia="ja-JP"/>
        </w:rPr>
        <w:t xml:space="preserve"> R-Cycle i jego misję zapewnienia identyfikowalności tworzyw sztucznych jednorazowego użytku poprzez Cyfrowe Paszporty Produktów (DPP – ang. Digital Product Passports), firma BOBST zakończyła pilotaż w swoim Centrum Kompetencyjnym w Manchesterze, gdzie </w:t>
      </w:r>
      <w:r w:rsidRPr="006037BC">
        <w:rPr>
          <w:rFonts w:eastAsia="Times New Roman" w:cstheme="minorHAnsi"/>
          <w:b/>
          <w:color w:val="000000"/>
          <w:sz w:val="20"/>
          <w:szCs w:val="20"/>
          <w:lang w:val="pl-PL" w:eastAsia="ja-JP"/>
        </w:rPr>
        <w:t>maszyna demonstracyjna jest gotowa do R-Cycle</w:t>
      </w:r>
      <w:r w:rsidRPr="006037BC">
        <w:rPr>
          <w:rFonts w:eastAsia="Times New Roman" w:cstheme="minorHAnsi"/>
          <w:color w:val="000000"/>
          <w:sz w:val="20"/>
          <w:szCs w:val="20"/>
          <w:lang w:val="pl-PL" w:eastAsia="ja-JP"/>
        </w:rPr>
        <w:t>. Projekt ten zostanie teraz rozszerzony na inne linie produktów (powlekanie, laminowanie, druk fleksograficzny CI, druk wklęsły).</w:t>
      </w:r>
    </w:p>
    <w:p w14:paraId="19077D31"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4F5A6FC8"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Wierzymy, że BOBST ma na tyle silną pozycję, aby pomóc przetwórcom i właścicielom marek w transformacji sposobu produkcji opakowań. </w:t>
      </w:r>
    </w:p>
    <w:p w14:paraId="5B7F2139"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p>
    <w:p w14:paraId="372A722E" w14:textId="77777777" w:rsidR="006037BC" w:rsidRPr="006037BC" w:rsidRDefault="006037BC" w:rsidP="006037BC">
      <w:pPr>
        <w:shd w:val="clear" w:color="auto" w:fill="FFFFFF"/>
        <w:spacing w:line="276" w:lineRule="auto"/>
        <w:rPr>
          <w:rFonts w:eastAsia="Times New Roman" w:cstheme="minorHAnsi"/>
          <w:color w:val="000000"/>
          <w:sz w:val="20"/>
          <w:szCs w:val="20"/>
          <w:lang w:val="pl-PL" w:eastAsia="ja-JP"/>
        </w:rPr>
      </w:pPr>
      <w:r w:rsidRPr="006037BC">
        <w:rPr>
          <w:rFonts w:eastAsia="Times New Roman" w:cstheme="minorHAnsi"/>
          <w:color w:val="000000"/>
          <w:sz w:val="20"/>
          <w:szCs w:val="20"/>
          <w:lang w:val="pl-PL" w:eastAsia="ja-JP"/>
        </w:rPr>
        <w:t xml:space="preserve">„Choć nie ulega wątpliwości, że wyzwania, przed którymi stoimy w dzisiejszym środowisku opakowań, są większe i bardziej zróżnicowane niż kiedykolwiek wcześniej, wszyscy w BOBST wiemy, że dysponujemy odpowiednim portfolio, usługami i partnerami, aby pomóc przetwórcom i właścicielom marek z </w:t>
      </w:r>
      <w:r w:rsidRPr="006037BC">
        <w:rPr>
          <w:rFonts w:eastAsia="Times New Roman" w:cstheme="minorHAnsi"/>
          <w:color w:val="000000"/>
          <w:sz w:val="20"/>
          <w:szCs w:val="20"/>
          <w:lang w:val="pl-PL" w:eastAsia="ja-JP"/>
        </w:rPr>
        <w:lastRenderedPageBreak/>
        <w:t xml:space="preserve">powodzeniem je pokonać” - mówi Jean-Pascal Bobst, Dyrektor Generalny Grupy Bobst. „W 2020 r. wybraliśmy właściwą strategię, a teraz przetwórcy i właściciele marek mogą naprawdę na tym skorzystać. Razem możemy z ufnością spoglądać w lepszą przyszłość.” </w:t>
      </w:r>
    </w:p>
    <w:p w14:paraId="726B2CD1" w14:textId="77777777" w:rsidR="006037BC" w:rsidRPr="006037BC" w:rsidRDefault="006037BC" w:rsidP="006037BC">
      <w:pPr>
        <w:shd w:val="clear" w:color="auto" w:fill="FFFFFF"/>
        <w:spacing w:line="276" w:lineRule="auto"/>
        <w:rPr>
          <w:rFonts w:ascii="Arial" w:eastAsia="Times New Roman" w:hAnsi="Arial" w:cs="Arial"/>
          <w:color w:val="000000"/>
          <w:sz w:val="22"/>
          <w:lang w:val="en-US" w:eastAsia="ja-JP"/>
        </w:rPr>
      </w:pPr>
    </w:p>
    <w:p w14:paraId="14A35387" w14:textId="77777777" w:rsidR="006037BC" w:rsidRPr="006037BC" w:rsidRDefault="006037BC" w:rsidP="006037BC">
      <w:pPr>
        <w:shd w:val="clear" w:color="auto" w:fill="FFFFFF"/>
        <w:spacing w:line="276" w:lineRule="auto"/>
        <w:rPr>
          <w:rFonts w:ascii="Arial" w:eastAsia="Times New Roman" w:hAnsi="Arial" w:cs="Arial"/>
          <w:color w:val="000000"/>
          <w:sz w:val="22"/>
          <w:lang w:val="pl-PL" w:eastAsia="ja-JP"/>
        </w:rPr>
      </w:pPr>
      <w:r w:rsidRPr="006037BC">
        <w:rPr>
          <w:rFonts w:ascii="Arial" w:eastAsia="Times New Roman" w:hAnsi="Arial" w:cs="Times New Roman"/>
          <w:color w:val="000000"/>
          <w:sz w:val="22"/>
          <w:lang w:val="pl-PL" w:eastAsia="ja-JP"/>
        </w:rPr>
        <w:t>./.</w:t>
      </w:r>
    </w:p>
    <w:p w14:paraId="2F153E57" w14:textId="77777777" w:rsidR="000E65F0" w:rsidRPr="00515A2B" w:rsidRDefault="000E65F0"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03DD" w14:textId="77777777" w:rsidR="009C54BC" w:rsidRDefault="009C54BC" w:rsidP="00BB5BE9">
      <w:pPr>
        <w:spacing w:line="240" w:lineRule="auto"/>
      </w:pPr>
      <w:r>
        <w:separator/>
      </w:r>
    </w:p>
  </w:endnote>
  <w:endnote w:type="continuationSeparator" w:id="0">
    <w:p w14:paraId="3E46CF0F" w14:textId="77777777" w:rsidR="009C54BC" w:rsidRDefault="009C54B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Yu Mincho">
    <w:altName w:val="游明朝"/>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F242" w14:textId="77777777" w:rsidR="009C54BC" w:rsidRDefault="009C54BC" w:rsidP="00BB5BE9">
      <w:pPr>
        <w:spacing w:line="240" w:lineRule="auto"/>
      </w:pPr>
      <w:r>
        <w:separator/>
      </w:r>
    </w:p>
  </w:footnote>
  <w:footnote w:type="continuationSeparator" w:id="0">
    <w:p w14:paraId="61DC23DE" w14:textId="77777777" w:rsidR="009C54BC" w:rsidRDefault="009C54B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C54BC"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2645"/>
    <w:rsid w:val="000C3D9A"/>
    <w:rsid w:val="000D37EF"/>
    <w:rsid w:val="000E4ED6"/>
    <w:rsid w:val="000E65F0"/>
    <w:rsid w:val="00105274"/>
    <w:rsid w:val="001100A0"/>
    <w:rsid w:val="001122C3"/>
    <w:rsid w:val="00112F31"/>
    <w:rsid w:val="00152612"/>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037BC"/>
    <w:rsid w:val="006209F8"/>
    <w:rsid w:val="006A45F6"/>
    <w:rsid w:val="006D35BD"/>
    <w:rsid w:val="00720A43"/>
    <w:rsid w:val="00835855"/>
    <w:rsid w:val="00845AE3"/>
    <w:rsid w:val="008677A6"/>
    <w:rsid w:val="00876193"/>
    <w:rsid w:val="008B5EF4"/>
    <w:rsid w:val="008C5DF4"/>
    <w:rsid w:val="008D353F"/>
    <w:rsid w:val="00900CAA"/>
    <w:rsid w:val="0097702D"/>
    <w:rsid w:val="009A0420"/>
    <w:rsid w:val="009A468B"/>
    <w:rsid w:val="009C07C8"/>
    <w:rsid w:val="009C54BC"/>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6254D"/>
    <w:rsid w:val="00DB1DC2"/>
    <w:rsid w:val="00DB761C"/>
    <w:rsid w:val="00DD2D6F"/>
    <w:rsid w:val="00DE0619"/>
    <w:rsid w:val="00DE5DD2"/>
    <w:rsid w:val="00E00C83"/>
    <w:rsid w:val="00E363B9"/>
    <w:rsid w:val="00E41D57"/>
    <w:rsid w:val="00E55AE4"/>
    <w:rsid w:val="00E653AC"/>
    <w:rsid w:val="00EA0EB6"/>
    <w:rsid w:val="00EB6594"/>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1</TotalTime>
  <Pages>4</Pages>
  <Words>1647</Words>
  <Characters>9389</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2020-02-21T14:53:00Z</cp:lastPrinted>
  <dcterms:created xsi:type="dcterms:W3CDTF">2022-06-04T07:10:00Z</dcterms:created>
  <dcterms:modified xsi:type="dcterms:W3CDTF">2022-06-04T07:33:00Z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